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88" w:lineRule="auto"/>
        <w:jc w:val="center"/>
        <w:rPr>
          <w:rFonts w:ascii="楷体" w:hAnsi="楷体" w:eastAsia="楷体" w:cs="宋体"/>
          <w:b/>
          <w:bCs/>
          <w:kern w:val="0"/>
          <w:sz w:val="28"/>
          <w:szCs w:val="28"/>
        </w:rPr>
      </w:pPr>
      <w:r>
        <w:rPr>
          <w:rFonts w:hint="eastAsia" w:ascii="楷体" w:hAnsi="楷体" w:eastAsia="楷体" w:cs="宋体"/>
          <w:b/>
          <w:bCs/>
          <w:kern w:val="0"/>
          <w:sz w:val="28"/>
          <w:szCs w:val="28"/>
        </w:rPr>
        <w:t>阳光城集团</w:t>
      </w:r>
      <w:r>
        <w:rPr>
          <w:rFonts w:hint="eastAsia" w:ascii="楷体" w:hAnsi="楷体" w:eastAsia="楷体" w:cs="宋体"/>
          <w:b/>
          <w:bCs/>
          <w:kern w:val="0"/>
          <w:sz w:val="28"/>
          <w:szCs w:val="28"/>
          <w:lang w:val="en-US" w:eastAsia="zh-CN"/>
        </w:rPr>
        <w:t>山东区域公司营销管培生招聘</w:t>
      </w:r>
    </w:p>
    <w:p>
      <w:pPr>
        <w:autoSpaceDE w:val="0"/>
        <w:autoSpaceDN w:val="0"/>
        <w:adjustRightInd w:val="0"/>
        <w:snapToGrid w:val="0"/>
        <w:spacing w:line="288" w:lineRule="auto"/>
        <w:jc w:val="center"/>
        <w:rPr>
          <w:rFonts w:ascii="楷体" w:hAnsi="楷体" w:eastAsia="楷体" w:cs="宋体"/>
          <w:b/>
          <w:bCs/>
          <w:kern w:val="0"/>
          <w:sz w:val="28"/>
          <w:szCs w:val="28"/>
        </w:rPr>
      </w:pPr>
    </w:p>
    <w:p>
      <w:pPr>
        <w:autoSpaceDE w:val="0"/>
        <w:autoSpaceDN w:val="0"/>
        <w:adjustRightInd w:val="0"/>
        <w:snapToGrid w:val="0"/>
        <w:spacing w:line="288" w:lineRule="auto"/>
        <w:jc w:val="center"/>
        <w:rPr>
          <w:rFonts w:ascii="楷体" w:hAnsi="楷体" w:eastAsia="楷体" w:cs="宋体"/>
          <w:b/>
          <w:bCs/>
          <w:kern w:val="0"/>
          <w:sz w:val="28"/>
          <w:szCs w:val="28"/>
        </w:rPr>
      </w:pPr>
      <w:r>
        <w:rPr>
          <w:rFonts w:hint="eastAsia" w:ascii="楷体" w:hAnsi="楷体" w:eastAsia="楷体" w:cs="宋体"/>
          <w:b/>
          <w:bCs/>
          <w:kern w:val="0"/>
          <w:sz w:val="28"/>
          <w:szCs w:val="28"/>
        </w:rPr>
        <w:t>虚位以待，只等你来！</w:t>
      </w:r>
    </w:p>
    <w:p>
      <w:pPr>
        <w:autoSpaceDE w:val="0"/>
        <w:autoSpaceDN w:val="0"/>
        <w:adjustRightInd w:val="0"/>
        <w:snapToGrid w:val="0"/>
        <w:spacing w:line="288" w:lineRule="auto"/>
        <w:jc w:val="center"/>
        <w:rPr>
          <w:rFonts w:ascii="楷体" w:hAnsi="楷体" w:eastAsia="楷体" w:cs="宋体"/>
          <w:b/>
          <w:bCs/>
          <w:kern w:val="0"/>
          <w:sz w:val="28"/>
          <w:szCs w:val="28"/>
        </w:rPr>
      </w:pPr>
    </w:p>
    <w:p>
      <w:pPr>
        <w:autoSpaceDE w:val="0"/>
        <w:autoSpaceDN w:val="0"/>
        <w:adjustRightInd w:val="0"/>
        <w:snapToGrid w:val="0"/>
        <w:spacing w:line="288" w:lineRule="auto"/>
        <w:rPr>
          <w:rFonts w:ascii="楷体" w:hAnsi="楷体" w:eastAsia="楷体" w:cs="宋体"/>
          <w:b/>
          <w:bCs/>
          <w:kern w:val="0"/>
          <w:sz w:val="28"/>
          <w:szCs w:val="28"/>
        </w:rPr>
      </w:pPr>
    </w:p>
    <w:p>
      <w:pPr>
        <w:autoSpaceDE w:val="0"/>
        <w:autoSpaceDN w:val="0"/>
        <w:adjustRightInd w:val="0"/>
        <w:snapToGrid w:val="0"/>
        <w:spacing w:line="288" w:lineRule="auto"/>
        <w:rPr>
          <w:rFonts w:ascii="楷体" w:hAnsi="楷体" w:eastAsia="楷体" w:cs="宋体"/>
          <w:b/>
          <w:bCs/>
          <w:kern w:val="0"/>
          <w:sz w:val="28"/>
          <w:szCs w:val="28"/>
        </w:rPr>
      </w:pPr>
    </w:p>
    <w:p>
      <w:pPr>
        <w:autoSpaceDE w:val="0"/>
        <w:autoSpaceDN w:val="0"/>
        <w:adjustRightInd w:val="0"/>
        <w:snapToGrid w:val="0"/>
        <w:spacing w:line="288" w:lineRule="auto"/>
        <w:rPr>
          <w:rFonts w:ascii="楷体" w:hAnsi="楷体" w:eastAsia="楷体" w:cs="宋体"/>
          <w:b/>
          <w:bCs/>
          <w:kern w:val="0"/>
          <w:sz w:val="28"/>
          <w:szCs w:val="28"/>
        </w:rPr>
      </w:pPr>
      <w:r>
        <w:rPr>
          <w:rFonts w:hint="eastAsia" w:ascii="楷体" w:hAnsi="楷体" w:eastAsia="楷体" w:cs="宋体"/>
          <w:b/>
          <w:bCs/>
          <w:kern w:val="0"/>
          <w:sz w:val="28"/>
          <w:szCs w:val="28"/>
        </w:rPr>
        <w:t>--我们是谁？</w:t>
      </w:r>
    </w:p>
    <w:p>
      <w:pPr>
        <w:snapToGrid w:val="0"/>
        <w:spacing w:line="312" w:lineRule="auto"/>
        <w:rPr>
          <w:rFonts w:ascii="楷体" w:hAnsi="楷体" w:eastAsia="楷体"/>
          <w:sz w:val="28"/>
          <w:szCs w:val="28"/>
        </w:rPr>
      </w:pPr>
    </w:p>
    <w:p>
      <w:pPr>
        <w:pStyle w:val="11"/>
        <w:snapToGrid w:val="0"/>
        <w:spacing w:line="312" w:lineRule="auto"/>
        <w:ind w:firstLine="48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阳光城集团（上市代码：000671）是世界500强阳光控股投资，以房地产开发为主业的全国化品牌企业，业务涵盖地产开发、商业运营、物业服务三大领域。1995年始创于福州，2012年管理总部迁至上海，阳光城集团凭借快速提升的企业综合实力及品牌价值，位列2017中国房地产开发企业500强TOP20。</w:t>
      </w:r>
    </w:p>
    <w:p>
      <w:pPr>
        <w:pStyle w:val="11"/>
        <w:snapToGrid w:val="0"/>
        <w:spacing w:line="312" w:lineRule="auto"/>
        <w:ind w:firstLine="48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以“缔造品质生活”为企业使命，以“最受尊敬的成长性房地产企业”为愿景，阳光城集团定位“高成长性精品地产运营商”，通过“精准投资、高效运营、适销产品”三大核心竞争策略，贯彻开放、合作、共赢理念，稳健运营、持续进取，努力实现有质量的增长。</w:t>
      </w:r>
    </w:p>
    <w:p>
      <w:pPr>
        <w:pStyle w:val="11"/>
        <w:snapToGrid w:val="0"/>
        <w:spacing w:line="312" w:lineRule="auto"/>
        <w:ind w:firstLine="480"/>
        <w:rPr>
          <w:rFonts w:hint="eastAsia"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2017年，阳光城在原有战略布局上进一步深化，提出“三全”投资战略，即：全地域发展、全方式拿地、全业态发展。在现有布局战略的基础上，形成二线城市全覆盖的战略格局。同时开启多元取地通道，并积极拓展更多业态和加速全产业链布局，积极拓展产业地产及园区运营、经营性物业运营等业务。截止2017年6月，集团在手总土储规模达3000万平方，储备货值超4500亿元。</w:t>
      </w:r>
    </w:p>
    <w:p>
      <w:pPr>
        <w:pStyle w:val="11"/>
        <w:snapToGrid w:val="0"/>
        <w:spacing w:line="312" w:lineRule="auto"/>
        <w:ind w:firstLine="480"/>
        <w:rPr>
          <w:rFonts w:ascii="楷体" w:hAnsi="楷体" w:eastAsia="楷体"/>
          <w:color w:val="262626" w:themeColor="text1" w:themeTint="D9"/>
          <w:sz w:val="24"/>
          <w14:textFill>
            <w14:solidFill>
              <w14:schemeClr w14:val="tx1">
                <w14:lumMod w14:val="85000"/>
                <w14:lumOff w14:val="15000"/>
              </w14:schemeClr>
            </w14:solidFill>
          </w14:textFill>
        </w:rPr>
      </w:pPr>
      <w:r>
        <w:rPr>
          <w:rFonts w:ascii="楷体" w:hAnsi="楷体" w:eastAsia="楷体"/>
          <w:color w:val="262626" w:themeColor="text1" w:themeTint="D9"/>
          <w:sz w:val="24"/>
          <w14:textFill>
            <w14:solidFill>
              <w14:schemeClr w14:val="tx1">
                <w14:lumMod w14:val="85000"/>
                <w14:lumOff w14:val="15000"/>
              </w14:schemeClr>
            </w14:solidFill>
          </w14:textFill>
        </w:rPr>
        <w:t>阳光城集团高速“五圆模型”。在充分保障人才的培养及引进、充足的土地储备和稳健的财务政策的同时，强化运营体系，保障人、财、地三要素的有机结合和高效发挥；最终促使集团在快车道上良性循环发展。</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---TOP20中国房地产开发集团</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---连续五年荣获中国“年度最佳雇主”</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---品牌愿景：做最受尊敬的成长性企业</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---品牌口号：有阳光，有梦想</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---品牌文化：简单透明、结果导向、合作共赢</w:t>
      </w:r>
    </w:p>
    <w:p>
      <w:pPr>
        <w:snapToGrid w:val="0"/>
        <w:spacing w:line="312" w:lineRule="auto"/>
        <w:ind w:firstLine="360" w:firstLineChars="150"/>
        <w:rPr>
          <w:rFonts w:ascii="楷体" w:hAnsi="楷体" w:eastAsia="楷体"/>
          <w:color w:val="262626" w:themeColor="text1" w:themeTint="D9"/>
          <w:sz w:val="24"/>
          <w:shd w:val="clear" w:color="auto" w:fill="FFFFFF"/>
          <w14:textFill>
            <w14:solidFill>
              <w14:schemeClr w14:val="tx1">
                <w14:lumMod w14:val="85000"/>
                <w14:lumOff w14:val="15000"/>
              </w14:schemeClr>
            </w14:solidFill>
          </w14:textFill>
        </w:rPr>
      </w:pPr>
    </w:p>
    <w:p>
      <w:pPr>
        <w:snapToGrid w:val="0"/>
        <w:spacing w:line="312" w:lineRule="auto"/>
        <w:ind w:firstLine="360" w:firstLineChars="150"/>
        <w:rPr>
          <w:rFonts w:ascii="楷体" w:hAnsi="楷体" w:eastAsia="楷体"/>
          <w:color w:val="262626" w:themeColor="text1" w:themeTint="D9"/>
          <w:sz w:val="24"/>
          <w:shd w:val="clear" w:color="auto" w:fill="FFFFFF"/>
          <w14:textFill>
            <w14:solidFill>
              <w14:schemeClr w14:val="tx1">
                <w14:lumMod w14:val="85000"/>
                <w14:lumOff w14:val="15000"/>
              </w14:schemeClr>
            </w14:solidFill>
          </w14:textFill>
        </w:rPr>
      </w:pPr>
    </w:p>
    <w:p>
      <w:pPr>
        <w:pStyle w:val="11"/>
        <w:snapToGrid w:val="0"/>
        <w:spacing w:line="312" w:lineRule="auto"/>
        <w:ind w:firstLine="0" w:firstLineChars="0"/>
        <w:rPr>
          <w:rFonts w:ascii="楷体" w:hAnsi="楷体" w:eastAsia="楷体"/>
          <w:b/>
          <w:sz w:val="24"/>
        </w:rPr>
      </w:pPr>
      <w:r>
        <w:rPr>
          <w:rFonts w:hint="eastAsia" w:ascii="楷体" w:hAnsi="楷体" w:eastAsia="楷体" w:cs="宋体"/>
          <w:b/>
          <w:bCs/>
          <w:kern w:val="0"/>
          <w:sz w:val="28"/>
          <w:szCs w:val="28"/>
        </w:rPr>
        <w:t>--“光之子”</w:t>
      </w:r>
      <w:r>
        <w:rPr>
          <w:rFonts w:ascii="楷体" w:hAnsi="楷体" w:eastAsia="楷体" w:cs="宋体"/>
          <w:b/>
          <w:bCs/>
          <w:kern w:val="0"/>
          <w:sz w:val="28"/>
          <w:szCs w:val="28"/>
        </w:rPr>
        <w:t>—</w:t>
      </w:r>
      <w:r>
        <w:rPr>
          <w:rFonts w:hint="eastAsia" w:ascii="楷体" w:hAnsi="楷体" w:eastAsia="楷体" w:cs="宋体"/>
          <w:b/>
          <w:bCs/>
          <w:kern w:val="0"/>
          <w:sz w:val="28"/>
          <w:szCs w:val="28"/>
        </w:rPr>
        <w:t>寻找光速领跑者！</w:t>
      </w:r>
    </w:p>
    <w:p>
      <w:pPr>
        <w:pStyle w:val="11"/>
        <w:snapToGrid w:val="0"/>
        <w:spacing w:line="312" w:lineRule="auto"/>
        <w:ind w:firstLine="0" w:firstLineChars="0"/>
        <w:rPr>
          <w:rFonts w:ascii="楷体" w:hAnsi="楷体" w:eastAsia="楷体" w:cs="宋体"/>
          <w:color w:val="262626" w:themeColor="text1" w:themeTint="D9"/>
          <w:kern w:val="0"/>
          <w:sz w:val="24"/>
          <w14:textFill>
            <w14:solidFill>
              <w14:schemeClr w14:val="tx1">
                <w14:lumMod w14:val="85000"/>
                <w14:lumOff w14:val="15000"/>
              </w14:schemeClr>
            </w14:solidFill>
          </w14:textFill>
        </w:rPr>
      </w:pP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s="宋体"/>
          <w:color w:val="262626" w:themeColor="text1" w:themeTint="D9"/>
          <w:kern w:val="0"/>
          <w:sz w:val="24"/>
          <w14:textFill>
            <w14:solidFill>
              <w14:schemeClr w14:val="tx1">
                <w14:lumMod w14:val="85000"/>
                <w14:lumOff w14:val="15000"/>
              </w14:schemeClr>
            </w14:solidFill>
          </w14:textFill>
        </w:rPr>
        <w:t>--</w:t>
      </w:r>
      <w:r>
        <w:rPr>
          <w:rFonts w:hint="eastAsia" w:ascii="楷体" w:hAnsi="楷体" w:eastAsia="楷体"/>
          <w:color w:val="262626" w:themeColor="text1" w:themeTint="D9"/>
          <w:sz w:val="24"/>
          <w14:textFill>
            <w14:solidFill>
              <w14:schemeClr w14:val="tx1">
                <w14:lumMod w14:val="85000"/>
                <w14:lumOff w14:val="15000"/>
              </w14:schemeClr>
            </w14:solidFill>
          </w14:textFill>
        </w:rPr>
        <w:t>“光之子”计划自2012年起正式启动，旨在面向全国高校选拔在学业和社会实践中表现卓越、具有潜力、拥有梦想，愿意通过思考和勤奋获得职业生涯高速成长的应届毕业生。通过公司高管和金牌专业导师的双导师带教辅导机制、度身定做的培养与发展体系，充分挖掘毕业生的优秀潜力、提高毕业生的专业技能，使其快速成长为公司中高层管理人员。</w:t>
      </w:r>
    </w:p>
    <w:p>
      <w:pPr>
        <w:snapToGrid w:val="0"/>
        <w:spacing w:line="312" w:lineRule="auto"/>
        <w:rPr>
          <w:rFonts w:ascii="楷体" w:hAnsi="楷体" w:eastAsia="楷体"/>
          <w:sz w:val="24"/>
        </w:rPr>
      </w:pPr>
    </w:p>
    <w:p>
      <w:pPr>
        <w:snapToGrid w:val="0"/>
        <w:spacing w:line="312" w:lineRule="auto"/>
        <w:rPr>
          <w:rFonts w:ascii="楷体" w:hAnsi="楷体" w:eastAsia="楷体"/>
          <w:b/>
          <w:sz w:val="24"/>
        </w:rPr>
      </w:pPr>
      <w:r>
        <w:rPr>
          <w:rFonts w:hint="eastAsia" w:ascii="楷体" w:hAnsi="楷体" w:eastAsia="楷体"/>
          <w:b/>
          <w:sz w:val="24"/>
        </w:rPr>
        <w:t>“光之子”春招计划：</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s="宋体"/>
          <w:color w:val="262626" w:themeColor="text1" w:themeTint="D9"/>
          <w:kern w:val="0"/>
          <w:sz w:val="24"/>
          <w14:textFill>
            <w14:solidFill>
              <w14:schemeClr w14:val="tx1">
                <w14:lumMod w14:val="85000"/>
                <w14:lumOff w14:val="15000"/>
              </w14:schemeClr>
            </w14:solidFill>
          </w14:textFill>
        </w:rPr>
        <w:t>--</w:t>
      </w:r>
      <w:r>
        <w:rPr>
          <w:rFonts w:hint="eastAsia" w:ascii="楷体" w:hAnsi="楷体" w:eastAsia="楷体"/>
          <w:color w:val="262626" w:themeColor="text1" w:themeTint="D9"/>
          <w:sz w:val="24"/>
          <w14:textFill>
            <w14:solidFill>
              <w14:schemeClr w14:val="tx1">
                <w14:lumMod w14:val="85000"/>
                <w14:lumOff w14:val="15000"/>
              </w14:schemeClr>
            </w14:solidFill>
          </w14:textFill>
        </w:rPr>
        <w:t>热身：3月-6月入职前，项目参观、公司实习等</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--起跑：入职第一周，集中培训</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--加速：集中培训期结束后的1~3年，通过光之营、成长论坛、E-learning、双导师制、私人定制的培养计划、光之子专刊，标杆学习、轮岗等多种培训方式的整合，快速提升专业技能和管理能力</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olor w:val="262626" w:themeColor="text1" w:themeTint="D9"/>
          <w:sz w:val="24"/>
          <w14:textFill>
            <w14:solidFill>
              <w14:schemeClr w14:val="tx1">
                <w14:lumMod w14:val="85000"/>
                <w14:lumOff w14:val="15000"/>
              </w14:schemeClr>
            </w14:solidFill>
          </w14:textFill>
        </w:rPr>
        <w:t>--冲刺：三年后，通过给予挑战性任务、挑战性岗位等，成为某领域的专家，成长为卓越领导者。</w:t>
      </w:r>
    </w:p>
    <w:p>
      <w:pPr>
        <w:snapToGrid w:val="0"/>
        <w:spacing w:line="312" w:lineRule="auto"/>
        <w:rPr>
          <w:rFonts w:ascii="楷体" w:hAnsi="楷体" w:eastAsia="楷体"/>
          <w:sz w:val="24"/>
        </w:rPr>
      </w:pPr>
    </w:p>
    <w:p>
      <w:pPr>
        <w:tabs>
          <w:tab w:val="left" w:pos="420"/>
        </w:tabs>
        <w:autoSpaceDE w:val="0"/>
        <w:autoSpaceDN w:val="0"/>
        <w:adjustRightInd w:val="0"/>
        <w:spacing w:line="400" w:lineRule="exact"/>
        <w:rPr>
          <w:rFonts w:ascii="楷体" w:hAnsi="楷体" w:eastAsia="楷体" w:cs="宋体"/>
          <w:b/>
          <w:bCs/>
          <w:kern w:val="0"/>
          <w:sz w:val="28"/>
          <w:szCs w:val="28"/>
        </w:rPr>
      </w:pPr>
    </w:p>
    <w:p>
      <w:pPr>
        <w:tabs>
          <w:tab w:val="left" w:pos="420"/>
        </w:tabs>
        <w:autoSpaceDE w:val="0"/>
        <w:autoSpaceDN w:val="0"/>
        <w:adjustRightInd w:val="0"/>
        <w:spacing w:line="400" w:lineRule="exact"/>
        <w:rPr>
          <w:rFonts w:ascii="楷体" w:hAnsi="楷体" w:eastAsia="楷体" w:cs="宋体"/>
          <w:b/>
          <w:bCs/>
          <w:kern w:val="0"/>
          <w:sz w:val="24"/>
        </w:rPr>
      </w:pPr>
      <w:r>
        <w:rPr>
          <w:rFonts w:hint="eastAsia" w:ascii="楷体" w:hAnsi="楷体" w:eastAsia="楷体" w:cs="宋体"/>
          <w:b/>
          <w:bCs/>
          <w:kern w:val="0"/>
          <w:sz w:val="28"/>
          <w:szCs w:val="28"/>
        </w:rPr>
        <w:t>--招聘岗位</w:t>
      </w:r>
    </w:p>
    <w:p>
      <w:pPr>
        <w:pStyle w:val="11"/>
        <w:autoSpaceDE w:val="0"/>
        <w:autoSpaceDN w:val="0"/>
        <w:adjustRightInd w:val="0"/>
        <w:spacing w:line="400" w:lineRule="exact"/>
        <w:ind w:firstLine="0" w:firstLineChars="0"/>
        <w:rPr>
          <w:rFonts w:ascii="楷体" w:hAnsi="楷体" w:eastAsia="楷体" w:cs="宋体"/>
          <w:color w:val="FF0000"/>
          <w:kern w:val="0"/>
          <w:sz w:val="24"/>
        </w:rPr>
      </w:pPr>
    </w:p>
    <w:p>
      <w:pPr>
        <w:pStyle w:val="11"/>
        <w:autoSpaceDE w:val="0"/>
        <w:autoSpaceDN w:val="0"/>
        <w:adjustRightInd w:val="0"/>
        <w:spacing w:line="400" w:lineRule="exact"/>
        <w:ind w:firstLine="0" w:firstLineChars="0"/>
        <w:rPr>
          <w:rFonts w:ascii="楷体" w:hAnsi="楷体" w:eastAsia="楷体" w:cs="宋体"/>
          <w:color w:val="FF0000"/>
          <w:kern w:val="0"/>
          <w:sz w:val="24"/>
        </w:rPr>
      </w:pPr>
      <w:r>
        <w:rPr>
          <w:rFonts w:hint="eastAsia" w:ascii="楷体" w:hAnsi="楷体" w:eastAsia="楷体" w:cs="宋体"/>
          <w:color w:val="FF0000"/>
          <w:kern w:val="0"/>
          <w:sz w:val="24"/>
        </w:rPr>
        <w:t>营销</w:t>
      </w:r>
      <w:r>
        <w:rPr>
          <w:rFonts w:ascii="楷体" w:hAnsi="楷体" w:eastAsia="楷体" w:cs="宋体"/>
          <w:color w:val="FF0000"/>
          <w:kern w:val="0"/>
          <w:sz w:val="24"/>
        </w:rPr>
        <w:t>序列“</w:t>
      </w:r>
      <w:r>
        <w:rPr>
          <w:rFonts w:hint="eastAsia" w:ascii="楷体" w:hAnsi="楷体" w:eastAsia="楷体" w:cs="宋体"/>
          <w:color w:val="FF0000"/>
          <w:kern w:val="0"/>
          <w:sz w:val="24"/>
        </w:rPr>
        <w:t>光之子</w:t>
      </w:r>
      <w:r>
        <w:rPr>
          <w:rFonts w:ascii="楷体" w:hAnsi="楷体" w:eastAsia="楷体" w:cs="宋体"/>
          <w:color w:val="FF0000"/>
          <w:kern w:val="0"/>
          <w:sz w:val="24"/>
        </w:rPr>
        <w:t>”</w:t>
      </w:r>
      <w:r>
        <w:rPr>
          <w:rFonts w:hint="eastAsia" w:ascii="楷体" w:hAnsi="楷体" w:eastAsia="楷体" w:cs="宋体"/>
          <w:color w:val="FF0000"/>
          <w:kern w:val="0"/>
          <w:sz w:val="24"/>
        </w:rPr>
        <w:t>计划</w:t>
      </w:r>
      <w:r>
        <w:rPr>
          <w:rFonts w:ascii="楷体" w:hAnsi="楷体" w:eastAsia="楷体" w:cs="宋体"/>
          <w:color w:val="FF0000"/>
          <w:kern w:val="0"/>
          <w:sz w:val="24"/>
        </w:rPr>
        <w:t>旨在</w:t>
      </w:r>
      <w:r>
        <w:rPr>
          <w:rFonts w:hint="eastAsia" w:ascii="楷体" w:hAnsi="楷体" w:eastAsia="楷体" w:cs="宋体"/>
          <w:color w:val="FF0000"/>
          <w:kern w:val="0"/>
          <w:sz w:val="24"/>
        </w:rPr>
        <w:t>面向</w:t>
      </w:r>
      <w:r>
        <w:rPr>
          <w:rFonts w:ascii="楷体" w:hAnsi="楷体" w:eastAsia="楷体" w:cs="宋体"/>
          <w:color w:val="FF0000"/>
          <w:kern w:val="0"/>
          <w:sz w:val="24"/>
        </w:rPr>
        <w:t>全国高校选拔</w:t>
      </w:r>
      <w:r>
        <w:rPr>
          <w:rFonts w:hint="eastAsia" w:ascii="楷体" w:hAnsi="楷体" w:eastAsia="楷体" w:cs="宋体"/>
          <w:color w:val="FF0000"/>
          <w:kern w:val="0"/>
          <w:sz w:val="24"/>
        </w:rPr>
        <w:t>具备</w:t>
      </w:r>
      <w:r>
        <w:rPr>
          <w:rFonts w:ascii="楷体" w:hAnsi="楷体" w:eastAsia="楷体" w:cs="宋体"/>
          <w:color w:val="FF0000"/>
          <w:kern w:val="0"/>
          <w:sz w:val="24"/>
        </w:rPr>
        <w:t>阳光</w:t>
      </w:r>
      <w:r>
        <w:rPr>
          <w:rFonts w:hint="eastAsia" w:ascii="楷体" w:hAnsi="楷体" w:eastAsia="楷体" w:cs="宋体"/>
          <w:color w:val="FF0000"/>
          <w:kern w:val="0"/>
          <w:sz w:val="24"/>
        </w:rPr>
        <w:t>气质</w:t>
      </w:r>
      <w:r>
        <w:rPr>
          <w:rFonts w:ascii="楷体" w:hAnsi="楷体" w:eastAsia="楷体" w:cs="宋体"/>
          <w:color w:val="FF0000"/>
          <w:kern w:val="0"/>
          <w:sz w:val="24"/>
        </w:rPr>
        <w:t>、追求</w:t>
      </w:r>
      <w:r>
        <w:rPr>
          <w:rFonts w:hint="eastAsia" w:ascii="楷体" w:hAnsi="楷体" w:eastAsia="楷体" w:cs="宋体"/>
          <w:color w:val="FF0000"/>
          <w:kern w:val="0"/>
          <w:sz w:val="24"/>
        </w:rPr>
        <w:t>职业</w:t>
      </w:r>
      <w:r>
        <w:rPr>
          <w:rFonts w:ascii="楷体" w:hAnsi="楷体" w:eastAsia="楷体" w:cs="宋体"/>
          <w:color w:val="FF0000"/>
          <w:kern w:val="0"/>
          <w:sz w:val="24"/>
        </w:rPr>
        <w:t>生涯</w:t>
      </w:r>
      <w:r>
        <w:rPr>
          <w:rFonts w:hint="eastAsia" w:ascii="楷体" w:hAnsi="楷体" w:eastAsia="楷体" w:cs="宋体"/>
          <w:color w:val="FF0000"/>
          <w:kern w:val="0"/>
          <w:sz w:val="24"/>
        </w:rPr>
        <w:t>高速</w:t>
      </w:r>
      <w:r>
        <w:rPr>
          <w:rFonts w:ascii="楷体" w:hAnsi="楷体" w:eastAsia="楷体" w:cs="宋体"/>
          <w:color w:val="FF0000"/>
          <w:kern w:val="0"/>
          <w:sz w:val="24"/>
        </w:rPr>
        <w:t>成长</w:t>
      </w:r>
      <w:r>
        <w:rPr>
          <w:rFonts w:hint="eastAsia" w:ascii="楷体" w:hAnsi="楷体" w:eastAsia="楷体" w:cs="宋体"/>
          <w:color w:val="FF0000"/>
          <w:kern w:val="0"/>
          <w:sz w:val="24"/>
        </w:rPr>
        <w:t>的2018年</w:t>
      </w:r>
      <w:r>
        <w:rPr>
          <w:rFonts w:ascii="楷体" w:hAnsi="楷体" w:eastAsia="楷体" w:cs="宋体"/>
          <w:color w:val="FF0000"/>
          <w:kern w:val="0"/>
          <w:sz w:val="24"/>
        </w:rPr>
        <w:t>应届毕业生</w:t>
      </w:r>
      <w:r>
        <w:rPr>
          <w:rFonts w:hint="eastAsia" w:ascii="楷体" w:hAnsi="楷体" w:eastAsia="楷体" w:cs="宋体"/>
          <w:color w:val="FF0000"/>
          <w:kern w:val="0"/>
          <w:sz w:val="24"/>
        </w:rPr>
        <w:t>。该计划通过</w:t>
      </w:r>
      <w:r>
        <w:rPr>
          <w:rFonts w:ascii="楷体" w:hAnsi="楷体" w:eastAsia="楷体" w:cs="宋体"/>
          <w:color w:val="FF0000"/>
          <w:kern w:val="0"/>
          <w:sz w:val="24"/>
        </w:rPr>
        <w:t>专业的面试和实习过程，</w:t>
      </w:r>
      <w:r>
        <w:rPr>
          <w:rFonts w:hint="eastAsia" w:ascii="楷体" w:hAnsi="楷体" w:eastAsia="楷体" w:cs="宋体"/>
          <w:color w:val="FF0000"/>
          <w:kern w:val="0"/>
          <w:sz w:val="24"/>
        </w:rPr>
        <w:t>充分</w:t>
      </w:r>
      <w:r>
        <w:rPr>
          <w:rFonts w:ascii="楷体" w:hAnsi="楷体" w:eastAsia="楷体" w:cs="宋体"/>
          <w:color w:val="FF0000"/>
          <w:kern w:val="0"/>
          <w:sz w:val="24"/>
        </w:rPr>
        <w:t>挖掘</w:t>
      </w:r>
      <w:r>
        <w:rPr>
          <w:rFonts w:hint="eastAsia" w:ascii="楷体" w:hAnsi="楷体" w:eastAsia="楷体" w:cs="宋体"/>
          <w:color w:val="FF0000"/>
          <w:kern w:val="0"/>
          <w:sz w:val="24"/>
        </w:rPr>
        <w:t>毕业生</w:t>
      </w:r>
      <w:r>
        <w:rPr>
          <w:rFonts w:ascii="楷体" w:hAnsi="楷体" w:eastAsia="楷体" w:cs="宋体"/>
          <w:color w:val="FF0000"/>
          <w:kern w:val="0"/>
          <w:sz w:val="24"/>
        </w:rPr>
        <w:t>的</w:t>
      </w:r>
      <w:r>
        <w:rPr>
          <w:rFonts w:hint="eastAsia" w:ascii="楷体" w:hAnsi="楷体" w:eastAsia="楷体" w:cs="宋体"/>
          <w:color w:val="FF0000"/>
          <w:kern w:val="0"/>
          <w:sz w:val="24"/>
        </w:rPr>
        <w:t>优秀</w:t>
      </w:r>
      <w:r>
        <w:rPr>
          <w:rFonts w:ascii="楷体" w:hAnsi="楷体" w:eastAsia="楷体" w:cs="宋体"/>
          <w:color w:val="FF0000"/>
          <w:kern w:val="0"/>
          <w:sz w:val="24"/>
        </w:rPr>
        <w:t>潜力</w:t>
      </w:r>
      <w:r>
        <w:rPr>
          <w:rFonts w:hint="eastAsia" w:ascii="楷体" w:hAnsi="楷体" w:eastAsia="楷体" w:cs="宋体"/>
          <w:color w:val="FF0000"/>
          <w:kern w:val="0"/>
          <w:sz w:val="24"/>
        </w:rPr>
        <w:t>，2-3年快速</w:t>
      </w:r>
      <w:r>
        <w:rPr>
          <w:rFonts w:ascii="楷体" w:hAnsi="楷体" w:eastAsia="楷体" w:cs="宋体"/>
          <w:color w:val="FF0000"/>
          <w:kern w:val="0"/>
          <w:sz w:val="24"/>
        </w:rPr>
        <w:t>成长为</w:t>
      </w:r>
      <w:r>
        <w:rPr>
          <w:rFonts w:hint="eastAsia" w:ascii="楷体" w:hAnsi="楷体" w:eastAsia="楷体" w:cs="宋体"/>
          <w:color w:val="FF0000"/>
          <w:kern w:val="0"/>
          <w:sz w:val="24"/>
        </w:rPr>
        <w:t>公司</w:t>
      </w:r>
      <w:r>
        <w:rPr>
          <w:rFonts w:ascii="楷体" w:hAnsi="楷体" w:eastAsia="楷体" w:cs="宋体"/>
          <w:color w:val="FF0000"/>
          <w:kern w:val="0"/>
          <w:sz w:val="24"/>
        </w:rPr>
        <w:t>一线营销经理，</w:t>
      </w:r>
      <w:r>
        <w:rPr>
          <w:rFonts w:hint="eastAsia" w:ascii="楷体" w:hAnsi="楷体" w:eastAsia="楷体" w:cs="宋体"/>
          <w:color w:val="FF0000"/>
          <w:kern w:val="0"/>
          <w:sz w:val="24"/>
        </w:rPr>
        <w:t>并</w:t>
      </w:r>
      <w:r>
        <w:rPr>
          <w:rFonts w:ascii="楷体" w:hAnsi="楷体" w:eastAsia="楷体" w:cs="宋体"/>
          <w:color w:val="FF0000"/>
          <w:kern w:val="0"/>
          <w:sz w:val="24"/>
        </w:rPr>
        <w:t>选拔具备</w:t>
      </w:r>
      <w:r>
        <w:rPr>
          <w:rFonts w:hint="eastAsia" w:ascii="楷体" w:hAnsi="楷体" w:eastAsia="楷体" w:cs="宋体"/>
          <w:color w:val="FF0000"/>
          <w:kern w:val="0"/>
          <w:sz w:val="24"/>
        </w:rPr>
        <w:t>营销</w:t>
      </w:r>
      <w:r>
        <w:rPr>
          <w:rFonts w:ascii="楷体" w:hAnsi="楷体" w:eastAsia="楷体" w:cs="宋体"/>
          <w:color w:val="FF0000"/>
          <w:kern w:val="0"/>
          <w:sz w:val="24"/>
        </w:rPr>
        <w:t>总监</w:t>
      </w:r>
      <w:r>
        <w:rPr>
          <w:rFonts w:hint="eastAsia" w:ascii="楷体" w:hAnsi="楷体" w:eastAsia="楷体" w:cs="宋体"/>
          <w:color w:val="FF0000"/>
          <w:kern w:val="0"/>
          <w:sz w:val="24"/>
        </w:rPr>
        <w:t>潜质</w:t>
      </w:r>
      <w:r>
        <w:rPr>
          <w:rFonts w:ascii="楷体" w:hAnsi="楷体" w:eastAsia="楷体" w:cs="宋体"/>
          <w:color w:val="FF0000"/>
          <w:kern w:val="0"/>
          <w:sz w:val="24"/>
        </w:rPr>
        <w:t>的人。</w:t>
      </w:r>
    </w:p>
    <w:p>
      <w:pPr>
        <w:pStyle w:val="11"/>
        <w:autoSpaceDE w:val="0"/>
        <w:autoSpaceDN w:val="0"/>
        <w:adjustRightInd w:val="0"/>
        <w:spacing w:line="400" w:lineRule="exact"/>
        <w:ind w:firstLine="0" w:firstLineChars="0"/>
        <w:rPr>
          <w:rFonts w:ascii="楷体" w:hAnsi="楷体" w:eastAsia="楷体" w:cs="宋体"/>
          <w:spacing w:val="8"/>
          <w:kern w:val="0"/>
          <w:sz w:val="24"/>
        </w:rPr>
      </w:pPr>
    </w:p>
    <w:p>
      <w:pPr>
        <w:pStyle w:val="11"/>
        <w:snapToGrid w:val="0"/>
        <w:spacing w:line="312" w:lineRule="auto"/>
        <w:ind w:firstLine="0" w:firstLineChars="0"/>
        <w:rPr>
          <w:rFonts w:ascii="楷体" w:hAnsi="楷体" w:eastAsia="楷体"/>
          <w:color w:val="FF0000"/>
          <w:sz w:val="24"/>
        </w:rPr>
      </w:pPr>
      <w:bookmarkStart w:id="0" w:name="OLE_LINK2"/>
      <w:bookmarkStart w:id="1" w:name="OLE_LINK1"/>
      <w:r>
        <w:rPr>
          <w:rFonts w:hint="eastAsia" w:ascii="楷体" w:hAnsi="楷体" w:eastAsia="楷体" w:cs="宋体"/>
          <w:color w:val="FF0000"/>
          <w:kern w:val="0"/>
          <w:sz w:val="24"/>
        </w:rPr>
        <w:t>--</w:t>
      </w:r>
      <w:r>
        <w:rPr>
          <w:rFonts w:hint="eastAsia" w:ascii="楷体" w:hAnsi="楷体" w:eastAsia="楷体"/>
          <w:color w:val="FF0000"/>
          <w:sz w:val="24"/>
        </w:rPr>
        <w:t>营销岗</w:t>
      </w:r>
    </w:p>
    <w:p>
      <w:pPr>
        <w:pStyle w:val="11"/>
        <w:snapToGrid w:val="0"/>
        <w:spacing w:line="312" w:lineRule="auto"/>
        <w:ind w:firstLine="0" w:firstLineChars="0"/>
        <w:rPr>
          <w:rFonts w:ascii="楷体" w:hAnsi="楷体" w:eastAsia="楷体" w:cs="宋体"/>
          <w:color w:val="FF0000"/>
          <w:kern w:val="0"/>
          <w:sz w:val="24"/>
        </w:rPr>
      </w:pPr>
      <w:r>
        <w:rPr>
          <w:rFonts w:hint="eastAsia" w:ascii="楷体" w:hAnsi="楷体" w:eastAsia="楷体" w:cs="宋体"/>
          <w:color w:val="FF0000"/>
          <w:kern w:val="0"/>
          <w:sz w:val="24"/>
        </w:rPr>
        <w:t>岗位职责:</w:t>
      </w:r>
    </w:p>
    <w:p>
      <w:pPr>
        <w:pStyle w:val="11"/>
        <w:snapToGrid w:val="0"/>
        <w:spacing w:line="312" w:lineRule="auto"/>
        <w:ind w:firstLine="0" w:firstLineChars="0"/>
        <w:rPr>
          <w:rFonts w:ascii="楷体" w:hAnsi="楷体" w:eastAsia="楷体"/>
          <w:color w:val="262626" w:themeColor="text1" w:themeTint="D9"/>
          <w:sz w:val="24"/>
          <w:szCs w:val="22"/>
          <w14:textFill>
            <w14:solidFill>
              <w14:schemeClr w14:val="tx1">
                <w14:lumMod w14:val="85000"/>
                <w14:lumOff w14:val="15000"/>
              </w14:schemeClr>
            </w14:solidFill>
          </w14:textFill>
        </w:rPr>
      </w:pPr>
      <w:r>
        <w:rPr>
          <w:rFonts w:hint="eastAsia" w:ascii="楷体" w:hAnsi="楷体" w:eastAsia="楷体"/>
          <w:color w:val="262626" w:themeColor="text1" w:themeTint="D9"/>
          <w:sz w:val="24"/>
          <w:szCs w:val="22"/>
          <w14:textFill>
            <w14:solidFill>
              <w14:schemeClr w14:val="tx1">
                <w14:lumMod w14:val="85000"/>
                <w14:lumOff w14:val="15000"/>
              </w14:schemeClr>
            </w14:solidFill>
          </w14:textFill>
        </w:rPr>
        <w:t xml:space="preserve">  </w:t>
      </w:r>
    </w:p>
    <w:p>
      <w:pPr>
        <w:pStyle w:val="11"/>
        <w:snapToGrid w:val="0"/>
        <w:spacing w:line="312" w:lineRule="auto"/>
        <w:ind w:firstLine="0" w:firstLineChars="0"/>
        <w:rPr>
          <w:rFonts w:ascii="楷体" w:hAnsi="楷体" w:eastAsia="楷体"/>
          <w:color w:val="262626" w:themeColor="text1" w:themeTint="D9"/>
          <w:sz w:val="24"/>
          <w:szCs w:val="22"/>
          <w14:textFill>
            <w14:solidFill>
              <w14:schemeClr w14:val="tx1">
                <w14:lumMod w14:val="85000"/>
                <w14:lumOff w14:val="15000"/>
              </w14:schemeClr>
            </w14:solidFill>
          </w14:textFill>
        </w:rPr>
      </w:pPr>
      <w:r>
        <w:rPr>
          <w:rFonts w:hint="eastAsia" w:ascii="楷体" w:hAnsi="楷体" w:eastAsia="楷体"/>
          <w:color w:val="262626" w:themeColor="text1" w:themeTint="D9"/>
          <w:sz w:val="24"/>
          <w:szCs w:val="22"/>
          <w14:textFill>
            <w14:solidFill>
              <w14:schemeClr w14:val="tx1">
                <w14:lumMod w14:val="85000"/>
                <w14:lumOff w14:val="15000"/>
              </w14:schemeClr>
            </w14:solidFill>
          </w14:textFill>
        </w:rPr>
        <w:t>入职：在一线销售岗位历练6个月到1年时间，在此基础上深刻了解客户、市场、竞争、行业特征以及营销职能特性；</w:t>
      </w:r>
    </w:p>
    <w:p>
      <w:pPr>
        <w:pStyle w:val="11"/>
        <w:snapToGrid w:val="0"/>
        <w:spacing w:line="312" w:lineRule="auto"/>
        <w:ind w:firstLine="0" w:firstLineChars="0"/>
        <w:rPr>
          <w:rFonts w:ascii="楷体" w:hAnsi="楷体" w:eastAsia="楷体"/>
          <w:color w:val="262626" w:themeColor="text1" w:themeTint="D9"/>
          <w:sz w:val="24"/>
          <w:szCs w:val="22"/>
          <w14:textFill>
            <w14:solidFill>
              <w14:schemeClr w14:val="tx1">
                <w14:lumMod w14:val="85000"/>
                <w14:lumOff w14:val="15000"/>
              </w14:schemeClr>
            </w14:solidFill>
          </w14:textFill>
        </w:rPr>
      </w:pPr>
      <w:r>
        <w:rPr>
          <w:rFonts w:hint="eastAsia" w:ascii="楷体" w:hAnsi="楷体" w:eastAsia="楷体"/>
          <w:color w:val="262626" w:themeColor="text1" w:themeTint="D9"/>
          <w:sz w:val="24"/>
          <w:szCs w:val="22"/>
          <w14:textFill>
            <w14:solidFill>
              <w14:schemeClr w14:val="tx1">
                <w14:lumMod w14:val="85000"/>
                <w14:lumOff w14:val="15000"/>
              </w14:schemeClr>
            </w14:solidFill>
          </w14:textFill>
        </w:rPr>
        <w:t>入职1年：根据自身发展兴趣及公司需要，可在营销销售、策划、销控、市场、品牌等多条线进行选择并作为长期发展方向；</w:t>
      </w:r>
    </w:p>
    <w:p>
      <w:pPr>
        <w:pStyle w:val="11"/>
        <w:snapToGrid w:val="0"/>
        <w:spacing w:line="312" w:lineRule="auto"/>
        <w:ind w:firstLine="0" w:firstLineChars="0"/>
        <w:rPr>
          <w:rFonts w:ascii="楷体" w:hAnsi="楷体" w:eastAsia="楷体"/>
          <w:color w:val="262626" w:themeColor="text1" w:themeTint="D9"/>
          <w:sz w:val="24"/>
          <w:szCs w:val="22"/>
          <w14:textFill>
            <w14:solidFill>
              <w14:schemeClr w14:val="tx1">
                <w14:lumMod w14:val="85000"/>
                <w14:lumOff w14:val="15000"/>
              </w14:schemeClr>
            </w14:solidFill>
          </w14:textFill>
        </w:rPr>
      </w:pPr>
      <w:r>
        <w:rPr>
          <w:rFonts w:hint="eastAsia" w:ascii="楷体" w:hAnsi="楷体" w:eastAsia="楷体"/>
          <w:color w:val="262626" w:themeColor="text1" w:themeTint="D9"/>
          <w:sz w:val="24"/>
          <w:szCs w:val="22"/>
          <w14:textFill>
            <w14:solidFill>
              <w14:schemeClr w14:val="tx1">
                <w14:lumMod w14:val="85000"/>
                <w14:lumOff w14:val="15000"/>
              </w14:schemeClr>
            </w14:solidFill>
          </w14:textFill>
        </w:rPr>
        <w:t>入职3年：优秀的营销光之子成长为项目营销经理；</w:t>
      </w:r>
    </w:p>
    <w:p>
      <w:pPr>
        <w:pStyle w:val="11"/>
        <w:snapToGrid w:val="0"/>
        <w:spacing w:line="312" w:lineRule="auto"/>
        <w:ind w:firstLine="0" w:firstLineChars="0"/>
        <w:rPr>
          <w:rFonts w:ascii="楷体" w:hAnsi="楷体" w:eastAsia="楷体"/>
          <w:color w:val="262626" w:themeColor="text1" w:themeTint="D9"/>
          <w:sz w:val="24"/>
          <w:szCs w:val="22"/>
          <w14:textFill>
            <w14:solidFill>
              <w14:schemeClr w14:val="tx1">
                <w14:lumMod w14:val="85000"/>
                <w14:lumOff w14:val="15000"/>
              </w14:schemeClr>
            </w14:solidFill>
          </w14:textFill>
        </w:rPr>
      </w:pPr>
      <w:r>
        <w:rPr>
          <w:rFonts w:hint="eastAsia" w:ascii="楷体" w:hAnsi="楷体" w:eastAsia="楷体"/>
          <w:color w:val="262626" w:themeColor="text1" w:themeTint="D9"/>
          <w:sz w:val="24"/>
          <w:szCs w:val="22"/>
          <w14:textFill>
            <w14:solidFill>
              <w14:schemeClr w14:val="tx1">
                <w14:lumMod w14:val="85000"/>
                <w14:lumOff w14:val="15000"/>
              </w14:schemeClr>
            </w14:solidFill>
          </w14:textFill>
        </w:rPr>
        <w:t>入职5年：向多项目的营销总监、或小地区公司的营销总监方向发展，或轮岗其它职能如投资发展或运营或集团总部，或成为管理一个项目的项目总监；</w:t>
      </w:r>
    </w:p>
    <w:p>
      <w:pPr>
        <w:pStyle w:val="11"/>
        <w:snapToGrid w:val="0"/>
        <w:spacing w:line="312" w:lineRule="auto"/>
        <w:ind w:firstLine="0" w:firstLineChars="0"/>
        <w:rPr>
          <w:rFonts w:ascii="楷体" w:hAnsi="楷体" w:eastAsia="楷体"/>
          <w:color w:val="262626" w:themeColor="text1" w:themeTint="D9"/>
          <w:sz w:val="24"/>
          <w:szCs w:val="22"/>
          <w14:textFill>
            <w14:solidFill>
              <w14:schemeClr w14:val="tx1">
                <w14:lumMod w14:val="85000"/>
                <w14:lumOff w14:val="15000"/>
              </w14:schemeClr>
            </w14:solidFill>
          </w14:textFill>
        </w:rPr>
      </w:pPr>
      <w:r>
        <w:rPr>
          <w:rFonts w:hint="eastAsia" w:ascii="楷体" w:hAnsi="楷体" w:eastAsia="楷体"/>
          <w:color w:val="262626" w:themeColor="text1" w:themeTint="D9"/>
          <w:sz w:val="24"/>
          <w:szCs w:val="22"/>
          <w14:textFill>
            <w14:solidFill>
              <w14:schemeClr w14:val="tx1">
                <w14:lumMod w14:val="85000"/>
                <w14:lumOff w14:val="15000"/>
              </w14:schemeClr>
            </w14:solidFill>
          </w14:textFill>
        </w:rPr>
        <w:t>长期职业规划：根据公司的发展机会及个人的能力，可发展为营销负责人、地区公司负责人等。</w:t>
      </w:r>
    </w:p>
    <w:p>
      <w:pPr>
        <w:pStyle w:val="11"/>
        <w:snapToGrid w:val="0"/>
        <w:spacing w:line="312" w:lineRule="auto"/>
        <w:ind w:firstLine="0" w:firstLineChars="0"/>
        <w:rPr>
          <w:rFonts w:ascii="楷体" w:hAnsi="楷体" w:eastAsia="楷体"/>
          <w:color w:val="FF0000"/>
          <w:sz w:val="24"/>
        </w:rPr>
      </w:pPr>
      <w:r>
        <w:rPr>
          <w:rFonts w:hint="eastAsia" w:ascii="楷体" w:hAnsi="楷体" w:eastAsia="楷体" w:cs="宋体"/>
          <w:color w:val="FF0000"/>
          <w:kern w:val="0"/>
          <w:sz w:val="24"/>
        </w:rPr>
        <w:t>任职要求:</w:t>
      </w:r>
    </w:p>
    <w:bookmarkEnd w:id="0"/>
    <w:bookmarkEnd w:id="1"/>
    <w:p>
      <w:pPr>
        <w:autoSpaceDE w:val="0"/>
        <w:autoSpaceDN w:val="0"/>
        <w:adjustRightInd w:val="0"/>
        <w:spacing w:line="400" w:lineRule="exact"/>
        <w:rPr>
          <w:rFonts w:ascii="楷体" w:hAnsi="楷体" w:eastAsia="楷体" w:cs="宋体"/>
          <w:bCs/>
          <w:kern w:val="0"/>
          <w:sz w:val="24"/>
        </w:rPr>
      </w:pPr>
      <w:r>
        <w:rPr>
          <w:rFonts w:hint="eastAsia" w:ascii="楷体" w:hAnsi="楷体" w:eastAsia="楷体" w:cs="宋体"/>
          <w:bCs/>
          <w:kern w:val="0"/>
          <w:sz w:val="24"/>
        </w:rPr>
        <w:t>本科及以上学历，专业不限</w:t>
      </w:r>
    </w:p>
    <w:p>
      <w:pPr>
        <w:autoSpaceDE w:val="0"/>
        <w:autoSpaceDN w:val="0"/>
        <w:adjustRightInd w:val="0"/>
        <w:spacing w:line="400" w:lineRule="exact"/>
        <w:rPr>
          <w:rFonts w:ascii="楷体" w:hAnsi="楷体" w:eastAsia="楷体" w:cs="宋体"/>
          <w:bCs/>
          <w:kern w:val="0"/>
          <w:sz w:val="24"/>
        </w:rPr>
      </w:pPr>
      <w:r>
        <w:rPr>
          <w:rFonts w:hint="eastAsia" w:ascii="楷体" w:hAnsi="楷体" w:eastAsia="楷体"/>
          <w:color w:val="262626" w:themeColor="text1" w:themeTint="D9"/>
          <w:sz w:val="24"/>
          <w:szCs w:val="22"/>
          <w14:textFill>
            <w14:solidFill>
              <w14:schemeClr w14:val="tx1">
                <w14:lumMod w14:val="85000"/>
                <w14:lumOff w14:val="15000"/>
              </w14:schemeClr>
            </w14:solidFill>
          </w14:textFill>
        </w:rPr>
        <w:t>热爱地产行业，具备较强的销售潜力、团队管理潜力、策划推广潜力等</w:t>
      </w:r>
    </w:p>
    <w:p>
      <w:pPr>
        <w:autoSpaceDE w:val="0"/>
        <w:autoSpaceDN w:val="0"/>
        <w:adjustRightInd w:val="0"/>
        <w:spacing w:line="400" w:lineRule="exact"/>
        <w:rPr>
          <w:rFonts w:hint="eastAsia" w:ascii="楷体" w:hAnsi="楷体" w:eastAsia="楷体" w:cs="宋体"/>
          <w:bCs/>
          <w:color w:val="FF0000"/>
          <w:kern w:val="0"/>
          <w:sz w:val="24"/>
          <w:lang w:val="en-US" w:eastAsia="zh-CN"/>
        </w:rPr>
      </w:pPr>
      <w:r>
        <w:rPr>
          <w:rFonts w:hint="eastAsia" w:ascii="楷体" w:hAnsi="楷体" w:eastAsia="楷体" w:cs="宋体"/>
          <w:bCs/>
          <w:color w:val="FF0000"/>
          <w:kern w:val="0"/>
          <w:sz w:val="24"/>
          <w:lang w:val="en-US" w:eastAsia="zh-CN"/>
        </w:rPr>
        <w:t>工作地点：</w:t>
      </w:r>
    </w:p>
    <w:p>
      <w:pPr>
        <w:autoSpaceDE w:val="0"/>
        <w:autoSpaceDN w:val="0"/>
        <w:adjustRightInd w:val="0"/>
        <w:spacing w:line="400" w:lineRule="exact"/>
        <w:rPr>
          <w:rFonts w:hint="eastAsia" w:ascii="楷体" w:hAnsi="楷体" w:eastAsia="楷体" w:cs="宋体"/>
          <w:bCs/>
          <w:color w:val="000000" w:themeColor="text1"/>
          <w:kern w:val="0"/>
          <w:sz w:val="24"/>
          <w:lang w:val="en-US" w:eastAsia="zh-CN"/>
          <w14:textFill>
            <w14:solidFill>
              <w14:schemeClr w14:val="tx1"/>
            </w14:solidFill>
          </w14:textFill>
        </w:rPr>
      </w:pPr>
      <w:r>
        <w:rPr>
          <w:rFonts w:hint="eastAsia" w:ascii="楷体" w:hAnsi="楷体" w:eastAsia="楷体" w:cs="宋体"/>
          <w:bCs/>
          <w:color w:val="000000" w:themeColor="text1"/>
          <w:kern w:val="0"/>
          <w:sz w:val="24"/>
          <w:lang w:val="en-US" w:eastAsia="zh-CN"/>
          <w14:textFill>
            <w14:solidFill>
              <w14:schemeClr w14:val="tx1"/>
            </w14:solidFill>
          </w14:textFill>
        </w:rPr>
        <w:t>济南，一年后可根据公司发展机会及个人的意愿全国发展。</w:t>
      </w:r>
    </w:p>
    <w:p>
      <w:pPr>
        <w:rPr>
          <w:rFonts w:ascii="楷体" w:hAnsi="楷体" w:eastAsia="楷体" w:cs="宋体"/>
          <w:b/>
          <w:bCs/>
          <w:kern w:val="0"/>
          <w:sz w:val="24"/>
        </w:rPr>
      </w:pPr>
    </w:p>
    <w:p>
      <w:pPr>
        <w:pStyle w:val="11"/>
        <w:autoSpaceDE w:val="0"/>
        <w:autoSpaceDN w:val="0"/>
        <w:adjustRightInd w:val="0"/>
        <w:spacing w:line="400" w:lineRule="exact"/>
        <w:ind w:firstLine="0" w:firstLineChars="0"/>
        <w:rPr>
          <w:rFonts w:ascii="楷体" w:hAnsi="楷体" w:eastAsia="楷体" w:cs="宋体"/>
          <w:b/>
          <w:bCs/>
          <w:kern w:val="0"/>
          <w:sz w:val="28"/>
          <w:szCs w:val="28"/>
        </w:rPr>
      </w:pPr>
      <w:r>
        <w:rPr>
          <w:rFonts w:hint="eastAsia" w:ascii="楷体" w:hAnsi="楷体" w:eastAsia="楷体" w:cs="宋体"/>
          <w:b/>
          <w:bCs/>
          <w:kern w:val="0"/>
          <w:sz w:val="28"/>
          <w:szCs w:val="28"/>
        </w:rPr>
        <w:t>--为阳光的你创造阳光生活</w:t>
      </w:r>
    </w:p>
    <w:p>
      <w:pPr>
        <w:pStyle w:val="11"/>
        <w:autoSpaceDE w:val="0"/>
        <w:autoSpaceDN w:val="0"/>
        <w:adjustRightInd w:val="0"/>
        <w:spacing w:line="400" w:lineRule="exact"/>
        <w:ind w:firstLine="0" w:firstLineChars="0"/>
        <w:rPr>
          <w:rFonts w:ascii="楷体" w:hAnsi="楷体" w:eastAsia="楷体" w:cs="宋体"/>
          <w:b/>
          <w:bCs/>
          <w:kern w:val="0"/>
          <w:sz w:val="24"/>
        </w:rPr>
      </w:pP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s="宋体"/>
          <w:color w:val="262626" w:themeColor="text1" w:themeTint="D9"/>
          <w:kern w:val="0"/>
          <w:sz w:val="24"/>
          <w14:textFill>
            <w14:solidFill>
              <w14:schemeClr w14:val="tx1">
                <w14:lumMod w14:val="85000"/>
                <w14:lumOff w14:val="15000"/>
              </w14:schemeClr>
            </w14:solidFill>
          </w14:textFill>
        </w:rPr>
        <w:t>--</w:t>
      </w:r>
      <w:r>
        <w:rPr>
          <w:rFonts w:hint="eastAsia" w:ascii="楷体" w:hAnsi="楷体" w:eastAsia="楷体"/>
          <w:color w:val="262626" w:themeColor="text1" w:themeTint="D9"/>
          <w:sz w:val="24"/>
          <w14:textFill>
            <w14:solidFill>
              <w14:schemeClr w14:val="tx1">
                <w14:lumMod w14:val="85000"/>
                <w14:lumOff w14:val="15000"/>
              </w14:schemeClr>
            </w14:solidFill>
          </w14:textFill>
        </w:rPr>
        <w:t>假期：法定假期、丧假、婚假、产假、陪产假、带薪年休假、考试假、工伤假等</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s="宋体"/>
          <w:color w:val="262626" w:themeColor="text1" w:themeTint="D9"/>
          <w:kern w:val="0"/>
          <w:sz w:val="24"/>
          <w14:textFill>
            <w14:solidFill>
              <w14:schemeClr w14:val="tx1">
                <w14:lumMod w14:val="85000"/>
                <w14:lumOff w14:val="15000"/>
              </w14:schemeClr>
            </w14:solidFill>
          </w14:textFill>
        </w:rPr>
        <w:t>--</w:t>
      </w:r>
      <w:r>
        <w:rPr>
          <w:rFonts w:hint="eastAsia" w:ascii="楷体" w:hAnsi="楷体" w:eastAsia="楷体"/>
          <w:color w:val="262626" w:themeColor="text1" w:themeTint="D9"/>
          <w:sz w:val="24"/>
          <w14:textFill>
            <w14:solidFill>
              <w14:schemeClr w14:val="tx1">
                <w14:lumMod w14:val="85000"/>
                <w14:lumOff w14:val="15000"/>
              </w14:schemeClr>
            </w14:solidFill>
          </w14:textFill>
        </w:rPr>
        <w:t>各类补助、津贴：车辆补贴、通讯津贴、伙食津贴、高温/取暖津贴、法定节日津贴、妇女节礼金、结婚礼金、生育礼金、六一节礼金、生日礼金、旅游津贴</w:t>
      </w:r>
    </w:p>
    <w:p>
      <w:pPr>
        <w:pStyle w:val="11"/>
        <w:snapToGrid w:val="0"/>
        <w:spacing w:line="312" w:lineRule="auto"/>
        <w:ind w:firstLine="0" w:firstLineChars="0"/>
        <w:rPr>
          <w:rFonts w:ascii="楷体" w:hAnsi="楷体" w:eastAsia="楷体"/>
          <w:color w:val="262626" w:themeColor="text1" w:themeTint="D9"/>
          <w:sz w:val="24"/>
          <w14:textFill>
            <w14:solidFill>
              <w14:schemeClr w14:val="tx1">
                <w14:lumMod w14:val="85000"/>
                <w14:lumOff w14:val="15000"/>
              </w14:schemeClr>
            </w14:solidFill>
          </w14:textFill>
        </w:rPr>
      </w:pPr>
      <w:r>
        <w:rPr>
          <w:rFonts w:hint="eastAsia" w:ascii="楷体" w:hAnsi="楷体" w:eastAsia="楷体" w:cs="宋体"/>
          <w:color w:val="262626" w:themeColor="text1" w:themeTint="D9"/>
          <w:kern w:val="0"/>
          <w:sz w:val="24"/>
          <w14:textFill>
            <w14:solidFill>
              <w14:schemeClr w14:val="tx1">
                <w14:lumMod w14:val="85000"/>
                <w14:lumOff w14:val="15000"/>
              </w14:schemeClr>
            </w14:solidFill>
          </w14:textFill>
        </w:rPr>
        <w:t>--</w:t>
      </w:r>
      <w:r>
        <w:rPr>
          <w:rFonts w:hint="eastAsia" w:ascii="楷体" w:hAnsi="楷体" w:eastAsia="楷体"/>
          <w:color w:val="262626" w:themeColor="text1" w:themeTint="D9"/>
          <w:sz w:val="24"/>
          <w14:textFill>
            <w14:solidFill>
              <w14:schemeClr w14:val="tx1">
                <w14:lumMod w14:val="85000"/>
                <w14:lumOff w14:val="15000"/>
              </w14:schemeClr>
            </w14:solidFill>
          </w14:textFill>
        </w:rPr>
        <w:t>其他福利：爱心互助基金、健康体检、内部员工购房优惠</w:t>
      </w:r>
    </w:p>
    <w:p>
      <w:pPr>
        <w:rPr>
          <w:rFonts w:ascii="楷体" w:hAnsi="楷体" w:eastAsia="楷体" w:cs="宋体"/>
          <w:b/>
          <w:bCs/>
          <w:kern w:val="0"/>
          <w:sz w:val="24"/>
        </w:rPr>
      </w:pPr>
    </w:p>
    <w:p>
      <w:pPr>
        <w:rPr>
          <w:rFonts w:ascii="楷体" w:hAnsi="楷体" w:eastAsia="楷体" w:cs="宋体"/>
          <w:b/>
          <w:bCs/>
          <w:kern w:val="0"/>
          <w:sz w:val="28"/>
          <w:szCs w:val="28"/>
        </w:rPr>
      </w:pPr>
      <w:r>
        <w:rPr>
          <w:rFonts w:hint="eastAsia" w:ascii="楷体" w:hAnsi="楷体" w:eastAsia="楷体" w:cs="宋体"/>
          <w:b/>
          <w:bCs/>
          <w:kern w:val="0"/>
          <w:sz w:val="28"/>
          <w:szCs w:val="28"/>
        </w:rPr>
        <w:t>--加入阳光</w:t>
      </w:r>
    </w:p>
    <w:p>
      <w:pPr>
        <w:rPr>
          <w:rFonts w:ascii="楷体" w:hAnsi="楷体" w:eastAsia="楷体" w:cs="宋体"/>
          <w:b/>
          <w:bCs/>
          <w:kern w:val="0"/>
          <w:sz w:val="24"/>
        </w:rPr>
      </w:pPr>
    </w:p>
    <w:p>
      <w:pPr>
        <w:pStyle w:val="11"/>
        <w:numPr>
          <w:ilvl w:val="0"/>
          <w:numId w:val="1"/>
        </w:numPr>
        <w:autoSpaceDE w:val="0"/>
        <w:autoSpaceDN w:val="0"/>
        <w:adjustRightInd w:val="0"/>
        <w:spacing w:line="400" w:lineRule="exact"/>
        <w:ind w:firstLineChars="0"/>
        <w:rPr>
          <w:rFonts w:ascii="楷体" w:hAnsi="楷体" w:eastAsia="楷体" w:cs="宋体"/>
          <w:bCs/>
          <w:kern w:val="0"/>
          <w:sz w:val="24"/>
        </w:rPr>
      </w:pPr>
      <w:r>
        <w:rPr>
          <w:rFonts w:hint="eastAsia" w:ascii="楷体" w:hAnsi="楷体" w:eastAsia="楷体" w:cs="宋体"/>
          <w:bCs/>
          <w:kern w:val="0"/>
          <w:sz w:val="24"/>
        </w:rPr>
        <w:t>应聘方式：</w:t>
      </w:r>
    </w:p>
    <w:p>
      <w:pPr>
        <w:numPr>
          <w:ilvl w:val="0"/>
          <w:numId w:val="2"/>
        </w:numPr>
        <w:snapToGrid w:val="0"/>
        <w:spacing w:line="288" w:lineRule="auto"/>
        <w:ind w:firstLine="600" w:firstLineChars="250"/>
        <w:rPr>
          <w:rFonts w:hint="eastAsia" w:ascii="楷体" w:hAnsi="楷体" w:eastAsia="楷体"/>
          <w:b/>
          <w:bCs/>
          <w:sz w:val="24"/>
        </w:rPr>
      </w:pPr>
      <w:r>
        <w:rPr>
          <w:rFonts w:hint="eastAsia" w:ascii="楷体" w:hAnsi="楷体" w:eastAsia="楷体"/>
          <w:sz w:val="24"/>
        </w:rPr>
        <w:t>网申地址：</w:t>
      </w:r>
      <w:r>
        <w:rPr>
          <w:rFonts w:hint="eastAsia" w:ascii="楷体" w:hAnsi="楷体" w:eastAsia="楷体"/>
          <w:b/>
          <w:bCs/>
          <w:sz w:val="24"/>
          <w:u w:val="single"/>
        </w:rPr>
        <w:t>yango2018.zhaopin.com</w:t>
      </w:r>
      <w:r>
        <w:rPr>
          <w:rFonts w:hint="eastAsia" w:ascii="楷体" w:hAnsi="楷体" w:eastAsia="楷体"/>
          <w:b/>
          <w:bCs/>
          <w:sz w:val="24"/>
        </w:rPr>
        <w:t>，</w:t>
      </w:r>
      <w:r>
        <w:rPr>
          <w:rFonts w:hint="eastAsia" w:ascii="楷体" w:hAnsi="楷体" w:eastAsia="楷体"/>
          <w:sz w:val="24"/>
        </w:rPr>
        <w:t>在线填写个人简历，完成职位申请。</w:t>
      </w:r>
    </w:p>
    <w:p>
      <w:pPr>
        <w:numPr>
          <w:ilvl w:val="0"/>
          <w:numId w:val="2"/>
        </w:numPr>
        <w:snapToGrid w:val="0"/>
        <w:spacing w:line="288" w:lineRule="auto"/>
        <w:ind w:firstLine="600" w:firstLineChars="250"/>
        <w:rPr>
          <w:rFonts w:hint="eastAsia" w:ascii="楷体" w:hAnsi="楷体" w:eastAsia="楷体"/>
          <w:b/>
          <w:bCs/>
          <w:sz w:val="24"/>
        </w:rPr>
      </w:pPr>
      <w:r>
        <w:rPr>
          <w:rFonts w:hint="eastAsia" w:ascii="楷体" w:hAnsi="楷体" w:eastAsia="楷体"/>
          <w:sz w:val="24"/>
        </w:rPr>
        <w:t>网申时间：</w:t>
      </w:r>
      <w:r>
        <w:rPr>
          <w:rFonts w:hint="eastAsia" w:ascii="楷体" w:hAnsi="楷体" w:eastAsia="楷体"/>
          <w:b/>
          <w:bCs/>
          <w:sz w:val="24"/>
        </w:rPr>
        <w:t>2018年</w:t>
      </w:r>
      <w:r>
        <w:rPr>
          <w:rFonts w:ascii="楷体" w:hAnsi="楷体" w:eastAsia="楷体"/>
          <w:b/>
          <w:bCs/>
          <w:sz w:val="24"/>
        </w:rPr>
        <w:t>3</w:t>
      </w:r>
      <w:r>
        <w:rPr>
          <w:rFonts w:hint="eastAsia" w:ascii="楷体" w:hAnsi="楷体" w:eastAsia="楷体"/>
          <w:b/>
          <w:bCs/>
          <w:sz w:val="24"/>
        </w:rPr>
        <w:t>月15日—2018年4月30日。</w:t>
      </w:r>
    </w:p>
    <w:p>
      <w:pPr>
        <w:numPr>
          <w:ilvl w:val="0"/>
          <w:numId w:val="2"/>
        </w:numPr>
        <w:snapToGrid w:val="0"/>
        <w:spacing w:line="288" w:lineRule="auto"/>
        <w:ind w:firstLine="600" w:firstLineChars="250"/>
        <w:rPr>
          <w:rFonts w:hint="eastAsia" w:ascii="楷体" w:hAnsi="楷体" w:eastAsia="楷体"/>
          <w:b/>
          <w:bCs/>
          <w:sz w:val="24"/>
          <w:lang w:val="en-US" w:eastAsia="zh-CN"/>
        </w:rPr>
      </w:pPr>
      <w:r>
        <w:rPr>
          <w:rFonts w:hint="eastAsia" w:ascii="楷体" w:hAnsi="楷体" w:eastAsia="楷体"/>
          <w:b w:val="0"/>
          <w:bCs w:val="0"/>
          <w:sz w:val="24"/>
          <w:lang w:val="en-US" w:eastAsia="zh-CN"/>
        </w:rPr>
        <w:t>联系人：</w:t>
      </w:r>
      <w:r>
        <w:rPr>
          <w:rFonts w:hint="eastAsia" w:ascii="楷体" w:hAnsi="楷体" w:eastAsia="楷体"/>
          <w:b/>
          <w:bCs/>
          <w:sz w:val="24"/>
          <w:lang w:val="en-US" w:eastAsia="zh-CN"/>
        </w:rPr>
        <w:t>彭先生 18561832843</w:t>
      </w:r>
    </w:p>
    <w:p>
      <w:pPr>
        <w:snapToGrid w:val="0"/>
        <w:spacing w:line="288" w:lineRule="auto"/>
        <w:ind w:firstLine="610" w:firstLineChars="253"/>
        <w:rPr>
          <w:rFonts w:ascii="楷体" w:hAnsi="楷体" w:eastAsia="楷体"/>
          <w:b/>
          <w:bCs/>
          <w:sz w:val="24"/>
        </w:rPr>
      </w:pPr>
    </w:p>
    <w:p>
      <w:pPr>
        <w:pStyle w:val="11"/>
        <w:numPr>
          <w:ilvl w:val="0"/>
          <w:numId w:val="1"/>
        </w:numPr>
        <w:autoSpaceDE w:val="0"/>
        <w:autoSpaceDN w:val="0"/>
        <w:adjustRightInd w:val="0"/>
        <w:spacing w:line="400" w:lineRule="exact"/>
        <w:ind w:firstLineChars="0"/>
        <w:rPr>
          <w:rFonts w:ascii="楷体" w:hAnsi="楷体" w:eastAsia="楷体" w:cs="宋体"/>
          <w:bCs/>
          <w:kern w:val="0"/>
          <w:sz w:val="24"/>
        </w:rPr>
      </w:pPr>
      <w:r>
        <w:rPr>
          <w:rFonts w:hint="eastAsia" w:ascii="楷体" w:hAnsi="楷体" w:eastAsia="楷体" w:cs="宋体"/>
          <w:bCs/>
          <w:kern w:val="0"/>
          <w:sz w:val="24"/>
        </w:rPr>
        <w:t>注意事项</w:t>
      </w:r>
    </w:p>
    <w:p>
      <w:pPr>
        <w:snapToGrid w:val="0"/>
        <w:spacing w:line="288" w:lineRule="auto"/>
        <w:ind w:firstLine="570"/>
        <w:rPr>
          <w:rFonts w:ascii="楷体" w:hAnsi="楷体" w:eastAsia="楷体"/>
          <w:sz w:val="24"/>
        </w:rPr>
      </w:pPr>
      <w:r>
        <w:rPr>
          <w:rFonts w:hint="eastAsia" w:ascii="楷体" w:hAnsi="楷体" w:eastAsia="楷体"/>
          <w:sz w:val="24"/>
        </w:rPr>
        <w:t>1、应聘者提前准备JPEG、GIF或JPG格式的电子版证件照和生活照各1张，以备网上报名时使用，其中：证件照大小在15k以内，尺寸为100*140；生活照大小在80k以内，尺寸为320*240。</w:t>
      </w:r>
    </w:p>
    <w:p>
      <w:pPr>
        <w:snapToGrid w:val="0"/>
        <w:spacing w:line="288" w:lineRule="auto"/>
        <w:ind w:firstLine="570"/>
        <w:rPr>
          <w:rFonts w:ascii="楷体" w:hAnsi="楷体" w:eastAsia="楷体"/>
          <w:sz w:val="24"/>
        </w:rPr>
      </w:pPr>
      <w:r>
        <w:rPr>
          <w:rFonts w:hint="eastAsia" w:ascii="楷体" w:hAnsi="楷体" w:eastAsia="楷体"/>
          <w:sz w:val="24"/>
        </w:rPr>
        <w:t>2、网上报名截止后将通过手机短信、统一招聘平台讯息提示或电子邮件等方式通知入围人员进入后续环节。</w:t>
      </w:r>
    </w:p>
    <w:p>
      <w:pPr>
        <w:snapToGrid w:val="0"/>
        <w:spacing w:line="288" w:lineRule="auto"/>
        <w:ind w:firstLine="570"/>
        <w:rPr>
          <w:rFonts w:ascii="楷体" w:hAnsi="楷体" w:eastAsia="楷体"/>
          <w:sz w:val="24"/>
        </w:rPr>
      </w:pPr>
      <w:r>
        <w:rPr>
          <w:rFonts w:hint="eastAsia" w:ascii="楷体" w:hAnsi="楷体" w:eastAsia="楷体"/>
          <w:sz w:val="24"/>
        </w:rPr>
        <w:t>请及时关注手机、电子邮箱与阳光城网站信息。</w:t>
      </w:r>
    </w:p>
    <w:p>
      <w:pPr>
        <w:autoSpaceDE w:val="0"/>
        <w:autoSpaceDN w:val="0"/>
        <w:adjustRightInd w:val="0"/>
        <w:spacing w:line="400" w:lineRule="exact"/>
        <w:rPr>
          <w:rFonts w:ascii="楷体" w:hAnsi="楷体" w:eastAsia="楷体" w:cs="宋体"/>
          <w:kern w:val="0"/>
          <w:sz w:val="24"/>
        </w:rPr>
      </w:pPr>
    </w:p>
    <w:p>
      <w:pPr>
        <w:rPr>
          <w:rFonts w:ascii="楷体" w:hAnsi="楷体" w:eastAsia="楷体"/>
          <w:sz w:val="24"/>
        </w:rPr>
      </w:pPr>
    </w:p>
    <w:p>
      <w:pPr>
        <w:rPr>
          <w:rFonts w:ascii="楷体" w:hAnsi="楷体" w:eastAsia="楷体"/>
          <w:sz w:val="28"/>
          <w:szCs w:val="28"/>
        </w:rPr>
      </w:pPr>
      <w:bookmarkStart w:id="2" w:name="_GoBack"/>
      <w:bookmarkEnd w:id="2"/>
    </w:p>
    <w:sectPr>
      <w:footerReference r:id="rId3" w:type="default"/>
      <w:footerReference r:id="rId4" w:type="even"/>
      <w:pgSz w:w="12240" w:h="15840"/>
      <w:pgMar w:top="1440" w:right="144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06C1B"/>
    <w:multiLevelType w:val="multilevel"/>
    <w:tmpl w:val="56106C1B"/>
    <w:lvl w:ilvl="0" w:tentative="0">
      <w:start w:val="1"/>
      <w:numFmt w:val="japaneseCounting"/>
      <w:lvlText w:val="%1、"/>
      <w:lvlJc w:val="left"/>
      <w:pPr>
        <w:ind w:left="480" w:hanging="48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D3424B"/>
    <w:multiLevelType w:val="singleLevel"/>
    <w:tmpl w:val="5AD3424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7D"/>
    <w:rsid w:val="00013A30"/>
    <w:rsid w:val="000311BE"/>
    <w:rsid w:val="000D6EE1"/>
    <w:rsid w:val="000F1DAE"/>
    <w:rsid w:val="0014079F"/>
    <w:rsid w:val="0016351D"/>
    <w:rsid w:val="00177CFC"/>
    <w:rsid w:val="001969CF"/>
    <w:rsid w:val="001A0EFA"/>
    <w:rsid w:val="001D1187"/>
    <w:rsid w:val="001D42E3"/>
    <w:rsid w:val="001E0303"/>
    <w:rsid w:val="001F2C15"/>
    <w:rsid w:val="002004AE"/>
    <w:rsid w:val="00211DD9"/>
    <w:rsid w:val="0024185F"/>
    <w:rsid w:val="00250E6F"/>
    <w:rsid w:val="00257F5B"/>
    <w:rsid w:val="002B003E"/>
    <w:rsid w:val="002C0597"/>
    <w:rsid w:val="002C6319"/>
    <w:rsid w:val="002C760E"/>
    <w:rsid w:val="002D7FE5"/>
    <w:rsid w:val="002E7751"/>
    <w:rsid w:val="002F0C31"/>
    <w:rsid w:val="0030730A"/>
    <w:rsid w:val="0031653C"/>
    <w:rsid w:val="0033436A"/>
    <w:rsid w:val="00340C47"/>
    <w:rsid w:val="00343BF6"/>
    <w:rsid w:val="00390CDA"/>
    <w:rsid w:val="003A2F40"/>
    <w:rsid w:val="003C4C56"/>
    <w:rsid w:val="003E1E3C"/>
    <w:rsid w:val="003E517B"/>
    <w:rsid w:val="003E5C1F"/>
    <w:rsid w:val="003F568E"/>
    <w:rsid w:val="00401D18"/>
    <w:rsid w:val="004062F4"/>
    <w:rsid w:val="004130BB"/>
    <w:rsid w:val="004279E9"/>
    <w:rsid w:val="00481F70"/>
    <w:rsid w:val="004B3259"/>
    <w:rsid w:val="004C2FCE"/>
    <w:rsid w:val="004F0B2E"/>
    <w:rsid w:val="005206E1"/>
    <w:rsid w:val="00522374"/>
    <w:rsid w:val="0052358C"/>
    <w:rsid w:val="00530BE8"/>
    <w:rsid w:val="00583562"/>
    <w:rsid w:val="00587945"/>
    <w:rsid w:val="00587D41"/>
    <w:rsid w:val="005969B6"/>
    <w:rsid w:val="006134F7"/>
    <w:rsid w:val="0062461C"/>
    <w:rsid w:val="00676270"/>
    <w:rsid w:val="00695769"/>
    <w:rsid w:val="0069627F"/>
    <w:rsid w:val="006B1008"/>
    <w:rsid w:val="006C7D48"/>
    <w:rsid w:val="006E19C9"/>
    <w:rsid w:val="006E5A82"/>
    <w:rsid w:val="006F7CD4"/>
    <w:rsid w:val="00710395"/>
    <w:rsid w:val="00725793"/>
    <w:rsid w:val="00750D20"/>
    <w:rsid w:val="00751D9D"/>
    <w:rsid w:val="00760060"/>
    <w:rsid w:val="007B0196"/>
    <w:rsid w:val="007B714D"/>
    <w:rsid w:val="007C7879"/>
    <w:rsid w:val="007E09BE"/>
    <w:rsid w:val="007E3203"/>
    <w:rsid w:val="008024CB"/>
    <w:rsid w:val="00802993"/>
    <w:rsid w:val="008217E1"/>
    <w:rsid w:val="008416D8"/>
    <w:rsid w:val="00843238"/>
    <w:rsid w:val="0085657D"/>
    <w:rsid w:val="00865CB3"/>
    <w:rsid w:val="008666F0"/>
    <w:rsid w:val="0089056A"/>
    <w:rsid w:val="008A2578"/>
    <w:rsid w:val="008B1AC9"/>
    <w:rsid w:val="008C7E3F"/>
    <w:rsid w:val="008E44BF"/>
    <w:rsid w:val="0090222D"/>
    <w:rsid w:val="00931153"/>
    <w:rsid w:val="009445E0"/>
    <w:rsid w:val="00960DAE"/>
    <w:rsid w:val="0097587E"/>
    <w:rsid w:val="009775DA"/>
    <w:rsid w:val="009915FC"/>
    <w:rsid w:val="00995E30"/>
    <w:rsid w:val="009A23C8"/>
    <w:rsid w:val="009A2DAD"/>
    <w:rsid w:val="009B670F"/>
    <w:rsid w:val="009F1DE3"/>
    <w:rsid w:val="009F5423"/>
    <w:rsid w:val="00A21497"/>
    <w:rsid w:val="00A55873"/>
    <w:rsid w:val="00A608E6"/>
    <w:rsid w:val="00A75CCB"/>
    <w:rsid w:val="00AB2650"/>
    <w:rsid w:val="00AC47C8"/>
    <w:rsid w:val="00AC5808"/>
    <w:rsid w:val="00B11809"/>
    <w:rsid w:val="00B22C41"/>
    <w:rsid w:val="00B324C4"/>
    <w:rsid w:val="00B55977"/>
    <w:rsid w:val="00B57339"/>
    <w:rsid w:val="00B71C7A"/>
    <w:rsid w:val="00BB1E5C"/>
    <w:rsid w:val="00BE1CF0"/>
    <w:rsid w:val="00BF1786"/>
    <w:rsid w:val="00C1425B"/>
    <w:rsid w:val="00C27E35"/>
    <w:rsid w:val="00C309E7"/>
    <w:rsid w:val="00C32C02"/>
    <w:rsid w:val="00C4399F"/>
    <w:rsid w:val="00C61352"/>
    <w:rsid w:val="00C649E9"/>
    <w:rsid w:val="00C73C47"/>
    <w:rsid w:val="00CB4BD5"/>
    <w:rsid w:val="00CE3F07"/>
    <w:rsid w:val="00D03D89"/>
    <w:rsid w:val="00D1191B"/>
    <w:rsid w:val="00D2189D"/>
    <w:rsid w:val="00D34877"/>
    <w:rsid w:val="00D70C7B"/>
    <w:rsid w:val="00D71636"/>
    <w:rsid w:val="00D76A1D"/>
    <w:rsid w:val="00D953D3"/>
    <w:rsid w:val="00DA79EB"/>
    <w:rsid w:val="00DB23DC"/>
    <w:rsid w:val="00E34E3E"/>
    <w:rsid w:val="00E81625"/>
    <w:rsid w:val="00EB0693"/>
    <w:rsid w:val="00EB61C5"/>
    <w:rsid w:val="00F00CC2"/>
    <w:rsid w:val="00F0243D"/>
    <w:rsid w:val="00F1400C"/>
    <w:rsid w:val="00F35198"/>
    <w:rsid w:val="00F373F3"/>
    <w:rsid w:val="00F910BC"/>
    <w:rsid w:val="00F96A7D"/>
    <w:rsid w:val="00F97AEE"/>
    <w:rsid w:val="00FC2016"/>
    <w:rsid w:val="00FE0AC8"/>
    <w:rsid w:val="00FF4366"/>
    <w:rsid w:val="0B1E1C49"/>
    <w:rsid w:val="0FE96BDC"/>
    <w:rsid w:val="1F53421B"/>
    <w:rsid w:val="23D56C64"/>
    <w:rsid w:val="2EC754E1"/>
    <w:rsid w:val="78443830"/>
    <w:rsid w:val="7EF14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character" w:styleId="8">
    <w:name w:val="Hyperlink"/>
    <w:basedOn w:val="6"/>
    <w:unhideWhenUsed/>
    <w:uiPriority w:val="0"/>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列出段落1"/>
    <w:basedOn w:val="1"/>
    <w:qFormat/>
    <w:uiPriority w:val="34"/>
    <w:pPr>
      <w:ind w:firstLine="420" w:firstLineChars="200"/>
    </w:pPr>
  </w:style>
  <w:style w:type="character" w:customStyle="1" w:styleId="12">
    <w:name w:val="页脚 Char"/>
    <w:basedOn w:val="6"/>
    <w:link w:val="3"/>
    <w:qFormat/>
    <w:uiPriority w:val="0"/>
    <w:rPr>
      <w:rFonts w:ascii="Times New Roman" w:hAnsi="Times New Roman" w:eastAsia="宋体" w:cs="Times New Roman"/>
      <w:sz w:val="18"/>
      <w:szCs w:val="18"/>
    </w:rPr>
  </w:style>
  <w:style w:type="character" w:customStyle="1" w:styleId="13">
    <w:name w:val="批注框文本 Char"/>
    <w:basedOn w:val="6"/>
    <w:link w:val="2"/>
    <w:semiHidden/>
    <w:qFormat/>
    <w:uiPriority w:val="99"/>
    <w:rPr>
      <w:rFonts w:ascii="Times New Roman" w:hAnsi="Times New Roman" w:eastAsia="宋体" w:cs="Times New Roman"/>
      <w:sz w:val="18"/>
      <w:szCs w:val="18"/>
    </w:rPr>
  </w:style>
  <w:style w:type="character" w:customStyle="1" w:styleId="14">
    <w:name w:val="页眉 Char"/>
    <w:basedOn w:val="6"/>
    <w:link w:val="4"/>
    <w:semiHidden/>
    <w:qFormat/>
    <w:uiPriority w:val="99"/>
    <w:rPr>
      <w:rFonts w:ascii="Times New Roman" w:hAnsi="Times New Roman" w:eastAsia="宋体" w:cs="Times New Roman"/>
      <w:sz w:val="18"/>
      <w:szCs w:val="18"/>
    </w:rPr>
  </w:style>
  <w:style w:type="character" w:customStyle="1" w:styleId="15">
    <w:name w:val="keyword-span-wrap"/>
    <w:basedOn w:val="6"/>
    <w:qFormat/>
    <w:uiPriority w:val="0"/>
    <w:rPr>
      <w:color w:val="19A97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3</Pages>
  <Words>295</Words>
  <Characters>1686</Characters>
  <Lines>14</Lines>
  <Paragraphs>3</Paragraphs>
  <TotalTime>0</TotalTime>
  <ScaleCrop>false</ScaleCrop>
  <LinksUpToDate>false</LinksUpToDate>
  <CharactersWithSpaces>1978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2018-03-05T07:56:00Z</dcterms:created>
  <dc:creator>jonny.ding</dc:creator>
  <cp:lastModifiedBy>、Dino</cp:lastModifiedBy>
  <dcterms:modified xsi:type="dcterms:W3CDTF">2018-04-15T12:17:05Z</dcterms:modified>
  <dc:title>阳光城集团股份有限公司2016	届校园招聘启事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